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280" w:after="20"/>
        <w:ind w:firstLine="0"/>
        <w:jc w:val="left"/>
      </w:pPr>
      <w:r>
        <w:rPr>
          <w:rFonts w:ascii="Arial" w:hAnsi="Arial"/>
          <w:b/>
          <w:color w:val="14606B"/>
          <w:sz w:val="56"/>
        </w:rPr>
        <w:t>SIGNAL SHIFT</w:t>
      </w:r>
    </w:p>
    <w:p>
      <w:pPr>
        <w:widowControl/>
        <w:spacing w:after="80"/>
        <w:ind w:firstLine="0"/>
        <w:jc w:val="left"/>
      </w:pPr>
      <w:r>
        <w:rPr>
          <w:rFonts w:ascii="Arial" w:hAnsi="Arial"/>
          <w:b/>
          <w:color w:val="16324F"/>
          <w:sz w:val="36"/>
        </w:rPr>
        <w:t>Three commercial AI launches changing work now</w:t>
      </w:r>
    </w:p>
    <w:p>
      <w:pPr>
        <w:widowControl/>
        <w:spacing w:after="160"/>
        <w:ind w:firstLine="0"/>
        <w:jc w:val="left"/>
      </w:pPr>
      <w:r>
        <w:rPr>
          <w:rFonts w:ascii="Arial" w:hAnsi="Arial"/>
          <w:b/>
          <w:color w:val="C8952E"/>
          <w:sz w:val="19"/>
        </w:rPr>
        <w:t>Healthcare  |  Education  |  News Media  |  August 2026  |  Manas Maheshwari</w:t>
      </w:r>
    </w:p>
    <w:p>
      <w:pPr>
        <w:widowControl/>
        <w:spacing w:before="120" w:after="140"/>
        <w:ind w:firstLine="0" w:left="216" w:right="216"/>
        <w:jc w:val="left"/>
        <w:shd w:fill="EAF3F3"/>
      </w:pPr>
      <w:r>
        <w:rPr>
          <w:rFonts w:ascii="Arial" w:hAnsi="Arial"/>
          <w:b/>
          <w:sz w:val="21"/>
        </w:rPr>
        <w:t xml:space="preserve">The one-minute read: </w:t>
      </w:r>
      <w:r>
        <w:rPr>
          <w:rFonts w:ascii="Arial" w:hAnsi="Arial"/>
          <w:sz w:val="21"/>
        </w:rPr>
        <w:t>The most important commercial AI releases of the past month are not simply better chatbots. They connect models to trusted data, professional workflows, and governance. OpenAI is bringing personal health records into ChatGPT, Anthropic is giving teachers standards-aligned planning tools, and news organizations are using AI to compress research work while keeping editorial judgment human.</w:t>
      </w:r>
    </w:p>
    <w:p>
      <w:pPr>
        <w:pStyle w:val="Heading1"/>
        <w:widowControl/>
      </w:pPr>
      <w:r>
        <w:rPr>
          <w:rFonts w:ascii="Arial" w:hAnsi="Arial"/>
          <w:sz w:val="21"/>
        </w:rPr>
        <w:t>What changed this month</w:t>
      </w:r>
    </w:p>
    <w:p>
      <w:pPr>
        <w:widowControl/>
        <w:ind w:firstLine="0"/>
        <w:jc w:val="left"/>
      </w:pPr>
      <w:r>
        <w:rPr>
          <w:rFonts w:ascii="Arial" w:hAnsi="Arial"/>
          <w:sz w:val="21"/>
        </w:rPr>
        <w:t>Across three very different industries, the same business pattern is emerging: value appears when AI is embedded in the decision process rather than placed beside it. The new products below reduce search, synthesis, and coordination costs. Their long-term advantage will depend on data access, workflow fit, and the trust controls that keep humans responsible for consequential choices.</w:t>
      </w:r>
    </w:p>
    <w:tbl>
      <w:tblPr>
        <w:tblStyle w:val="TableGrid"/>
        <w:tblW w:type="auto" w:w="0"/>
        <w:tblLook w:firstColumn="1" w:firstRow="1" w:lastColumn="0" w:lastRow="0" w:noHBand="0" w:noVBand="1" w:val="04A0"/>
      </w:tblPr>
      <w:tblGrid>
        <w:gridCol w:w="2340"/>
        <w:gridCol w:w="2340"/>
        <w:gridCol w:w="2340"/>
        <w:gridCol w:w="2340"/>
      </w:tblGrid>
      <w:tr>
        <w:trPr>
          <w:cantSplit/>
          <w:tblHeader w:val="true"/>
        </w:trPr>
        <w:tc>
          <w:tcPr>
            <w:tcW w:type="dxa" w:w="2340"/>
            <w:shd w:fill="14606B"/>
            <w:tcMar>
              <w:top w:w="85" w:type="dxa"/>
              <w:start w:w="100" w:type="dxa"/>
              <w:bottom w:w="85" w:type="dxa"/>
              <w:end w:w="100" w:type="dxa"/>
            </w:tcMar>
          </w:tcPr>
          <w:p>
            <w:pPr>
              <w:spacing w:before="0" w:after="0" w:line="240" w:lineRule="auto"/>
              <w:ind w:firstLine="0"/>
            </w:pPr>
            <w:r>
              <w:rPr>
                <w:rFonts w:ascii="Arial" w:hAnsi="Arial"/>
                <w:b/>
                <w:color w:val="FFFFFF"/>
                <w:sz w:val="18"/>
              </w:rPr>
              <w:t>Industry</w:t>
            </w:r>
          </w:p>
        </w:tc>
        <w:tc>
          <w:tcPr>
            <w:tcW w:type="dxa" w:w="2340"/>
            <w:shd w:fill="14606B"/>
            <w:tcMar>
              <w:top w:w="85" w:type="dxa"/>
              <w:start w:w="100" w:type="dxa"/>
              <w:bottom w:w="85" w:type="dxa"/>
              <w:end w:w="100" w:type="dxa"/>
            </w:tcMar>
          </w:tcPr>
          <w:p>
            <w:pPr>
              <w:spacing w:before="0" w:after="0" w:line="240" w:lineRule="auto"/>
              <w:ind w:firstLine="0"/>
            </w:pPr>
            <w:r>
              <w:rPr>
                <w:rFonts w:ascii="Arial" w:hAnsi="Arial"/>
                <w:b/>
                <w:color w:val="FFFFFF"/>
                <w:sz w:val="18"/>
              </w:rPr>
              <w:t>New capability</w:t>
            </w:r>
          </w:p>
        </w:tc>
        <w:tc>
          <w:tcPr>
            <w:tcW w:type="dxa" w:w="2340"/>
            <w:shd w:fill="14606B"/>
            <w:tcMar>
              <w:top w:w="85" w:type="dxa"/>
              <w:start w:w="100" w:type="dxa"/>
              <w:bottom w:w="85" w:type="dxa"/>
              <w:end w:w="100" w:type="dxa"/>
            </w:tcMar>
          </w:tcPr>
          <w:p>
            <w:pPr>
              <w:spacing w:before="0" w:after="0" w:line="240" w:lineRule="auto"/>
              <w:ind w:firstLine="0"/>
            </w:pPr>
            <w:r>
              <w:rPr>
                <w:rFonts w:ascii="Arial" w:hAnsi="Arial"/>
                <w:b/>
                <w:color w:val="FFFFFF"/>
                <w:sz w:val="18"/>
              </w:rPr>
              <w:t>Process transformed</w:t>
            </w:r>
          </w:p>
        </w:tc>
        <w:tc>
          <w:tcPr>
            <w:tcW w:type="dxa" w:w="2340"/>
            <w:shd w:fill="14606B"/>
            <w:tcMar>
              <w:top w:w="85" w:type="dxa"/>
              <w:start w:w="100" w:type="dxa"/>
              <w:bottom w:w="85" w:type="dxa"/>
              <w:end w:w="100" w:type="dxa"/>
            </w:tcMar>
          </w:tcPr>
          <w:p>
            <w:pPr>
              <w:spacing w:before="0" w:after="0" w:line="240" w:lineRule="auto"/>
              <w:ind w:firstLine="0"/>
            </w:pPr>
            <w:r>
              <w:rPr>
                <w:rFonts w:ascii="Arial" w:hAnsi="Arial"/>
                <w:b/>
                <w:color w:val="FFFFFF"/>
                <w:sz w:val="18"/>
              </w:rPr>
              <w:t>Decision advantage</w:t>
            </w:r>
          </w:p>
        </w:tc>
      </w:tr>
      <w:tr>
        <w:trPr>
          <w:cantSplit/>
        </w:trPr>
        <w:tc>
          <w:tcPr>
            <w:tcW w:type="dxa" w:w="2340"/>
            <w:shd w:fill="F5F7F6"/>
            <w:tcMar>
              <w:top w:w="85" w:type="dxa"/>
              <w:start w:w="100" w:type="dxa"/>
              <w:bottom w:w="85" w:type="dxa"/>
              <w:end w:w="100" w:type="dxa"/>
            </w:tcMar>
          </w:tcPr>
          <w:p>
            <w:pPr>
              <w:spacing w:after="0" w:before="0" w:line="240" w:lineRule="auto"/>
              <w:ind w:firstLine="0"/>
            </w:pPr>
            <w:r>
              <w:rPr>
                <w:rFonts w:ascii="Arial" w:hAnsi="Arial"/>
                <w:color w:val="26343D"/>
                <w:sz w:val="18"/>
              </w:rPr>
              <w:t>Healthcare</w:t>
            </w:r>
          </w:p>
        </w:tc>
        <w:tc>
          <w:tcPr>
            <w:tcW w:type="dxa" w:w="2340"/>
            <w:shd w:fill="F5F7F6"/>
            <w:tcMar>
              <w:top w:w="85" w:type="dxa"/>
              <w:start w:w="100" w:type="dxa"/>
              <w:bottom w:w="85" w:type="dxa"/>
              <w:end w:w="100" w:type="dxa"/>
            </w:tcMar>
          </w:tcPr>
          <w:p>
            <w:pPr>
              <w:spacing w:after="0" w:before="0" w:line="240" w:lineRule="auto"/>
              <w:ind w:firstLine="0"/>
            </w:pPr>
            <w:r>
              <w:rPr>
                <w:rFonts w:ascii="Arial" w:hAnsi="Arial"/>
                <w:color w:val="26343D"/>
                <w:sz w:val="18"/>
              </w:rPr>
              <w:t>ChatGPT Health connects Apple Health and supported medical records</w:t>
            </w:r>
          </w:p>
        </w:tc>
        <w:tc>
          <w:tcPr>
            <w:tcW w:type="dxa" w:w="2340"/>
            <w:shd w:fill="F5F7F6"/>
            <w:tcMar>
              <w:top w:w="85" w:type="dxa"/>
              <w:start w:w="100" w:type="dxa"/>
              <w:bottom w:w="85" w:type="dxa"/>
              <w:end w:w="100" w:type="dxa"/>
            </w:tcMar>
          </w:tcPr>
          <w:p>
            <w:pPr>
              <w:spacing w:after="0" w:before="0" w:line="240" w:lineRule="auto"/>
              <w:ind w:firstLine="0"/>
            </w:pPr>
            <w:r>
              <w:rPr>
                <w:rFonts w:ascii="Arial" w:hAnsi="Arial"/>
                <w:color w:val="26343D"/>
                <w:sz w:val="18"/>
              </w:rPr>
              <w:t>Patient preparation and longitudinal health review</w:t>
            </w:r>
          </w:p>
        </w:tc>
        <w:tc>
          <w:tcPr>
            <w:tcW w:type="dxa" w:w="2340"/>
            <w:shd w:fill="F5F7F6"/>
            <w:tcMar>
              <w:top w:w="85" w:type="dxa"/>
              <w:start w:w="100" w:type="dxa"/>
              <w:bottom w:w="85" w:type="dxa"/>
              <w:end w:w="100" w:type="dxa"/>
            </w:tcMar>
          </w:tcPr>
          <w:p>
            <w:pPr>
              <w:spacing w:after="0" w:before="0" w:line="240" w:lineRule="auto"/>
              <w:ind w:firstLine="0"/>
            </w:pPr>
            <w:r>
              <w:rPr>
                <w:rFonts w:ascii="Arial" w:hAnsi="Arial"/>
                <w:color w:val="26343D"/>
                <w:sz w:val="18"/>
              </w:rPr>
              <w:t>Faster pattern finding and more focused clinician conversations</w:t>
            </w:r>
          </w:p>
        </w:tc>
      </w:tr>
      <w:tr>
        <w:trPr>
          <w:cantSplit/>
        </w:trPr>
        <w:tc>
          <w:tcPr>
            <w:tcW w:type="dxa" w:w="2340"/>
            <w:shd w:fill="FFFFFF"/>
            <w:tcMar>
              <w:top w:w="85" w:type="dxa"/>
              <w:start w:w="100" w:type="dxa"/>
              <w:bottom w:w="85" w:type="dxa"/>
              <w:end w:w="100" w:type="dxa"/>
            </w:tcMar>
          </w:tcPr>
          <w:p>
            <w:pPr>
              <w:spacing w:after="0" w:before="0" w:line="240" w:lineRule="auto"/>
              <w:ind w:firstLine="0"/>
            </w:pPr>
            <w:r>
              <w:rPr>
                <w:rFonts w:ascii="Arial" w:hAnsi="Arial"/>
                <w:color w:val="26343D"/>
                <w:sz w:val="18"/>
              </w:rPr>
              <w:t>Education</w:t>
            </w:r>
          </w:p>
        </w:tc>
        <w:tc>
          <w:tcPr>
            <w:tcW w:type="dxa" w:w="2340"/>
            <w:shd w:fill="FFFFFF"/>
            <w:tcMar>
              <w:top w:w="85" w:type="dxa"/>
              <w:start w:w="100" w:type="dxa"/>
              <w:bottom w:w="85" w:type="dxa"/>
              <w:end w:w="100" w:type="dxa"/>
            </w:tcMar>
          </w:tcPr>
          <w:p>
            <w:pPr>
              <w:spacing w:after="0" w:before="0" w:line="240" w:lineRule="auto"/>
              <w:ind w:firstLine="0"/>
            </w:pPr>
            <w:r>
              <w:rPr>
                <w:rFonts w:ascii="Arial" w:hAnsi="Arial"/>
                <w:color w:val="26343D"/>
                <w:sz w:val="18"/>
              </w:rPr>
              <w:t>Claude for Teachers with standards-aligned planning support</w:t>
            </w:r>
          </w:p>
        </w:tc>
        <w:tc>
          <w:tcPr>
            <w:tcW w:type="dxa" w:w="2340"/>
            <w:shd w:fill="FFFFFF"/>
            <w:tcMar>
              <w:top w:w="85" w:type="dxa"/>
              <w:start w:w="100" w:type="dxa"/>
              <w:bottom w:w="85" w:type="dxa"/>
              <w:end w:w="100" w:type="dxa"/>
            </w:tcMar>
          </w:tcPr>
          <w:p>
            <w:pPr>
              <w:spacing w:after="0" w:before="0" w:line="240" w:lineRule="auto"/>
              <w:ind w:firstLine="0"/>
            </w:pPr>
            <w:r>
              <w:rPr>
                <w:rFonts w:ascii="Arial" w:hAnsi="Arial"/>
                <w:color w:val="26343D"/>
                <w:sz w:val="18"/>
              </w:rPr>
              <w:t>Lesson planning, differentiation, and class-data analysis</w:t>
            </w:r>
          </w:p>
        </w:tc>
        <w:tc>
          <w:tcPr>
            <w:tcW w:type="dxa" w:w="2340"/>
            <w:shd w:fill="FFFFFF"/>
            <w:tcMar>
              <w:top w:w="85" w:type="dxa"/>
              <w:start w:w="100" w:type="dxa"/>
              <w:bottom w:w="85" w:type="dxa"/>
              <w:end w:w="100" w:type="dxa"/>
            </w:tcMar>
          </w:tcPr>
          <w:p>
            <w:pPr>
              <w:spacing w:after="0" w:before="0" w:line="240" w:lineRule="auto"/>
              <w:ind w:firstLine="0"/>
            </w:pPr>
            <w:r>
              <w:rPr>
                <w:rFonts w:ascii="Arial" w:hAnsi="Arial"/>
                <w:color w:val="26343D"/>
                <w:sz w:val="18"/>
              </w:rPr>
              <w:t>More time for instruction and more consistent adaptations</w:t>
            </w:r>
          </w:p>
        </w:tc>
      </w:tr>
      <w:tr>
        <w:trPr>
          <w:cantSplit/>
        </w:trPr>
        <w:tc>
          <w:tcPr>
            <w:tcW w:type="dxa" w:w="2340"/>
            <w:shd w:fill="F5F7F6"/>
            <w:tcMar>
              <w:top w:w="85" w:type="dxa"/>
              <w:start w:w="100" w:type="dxa"/>
              <w:bottom w:w="85" w:type="dxa"/>
              <w:end w:w="100" w:type="dxa"/>
            </w:tcMar>
          </w:tcPr>
          <w:p>
            <w:pPr>
              <w:spacing w:after="0" w:before="0" w:line="240" w:lineRule="auto"/>
              <w:ind w:firstLine="0"/>
            </w:pPr>
            <w:r>
              <w:rPr>
                <w:rFonts w:ascii="Arial" w:hAnsi="Arial"/>
                <w:color w:val="26343D"/>
                <w:sz w:val="18"/>
              </w:rPr>
              <w:t>News media</w:t>
            </w:r>
          </w:p>
        </w:tc>
        <w:tc>
          <w:tcPr>
            <w:tcW w:type="dxa" w:w="2340"/>
            <w:shd w:fill="F5F7F6"/>
            <w:tcMar>
              <w:top w:w="85" w:type="dxa"/>
              <w:start w:w="100" w:type="dxa"/>
              <w:bottom w:w="85" w:type="dxa"/>
              <w:end w:w="100" w:type="dxa"/>
            </w:tcMar>
          </w:tcPr>
          <w:p>
            <w:pPr>
              <w:spacing w:after="0" w:before="0" w:line="240" w:lineRule="auto"/>
              <w:ind w:firstLine="0"/>
            </w:pPr>
            <w:r>
              <w:rPr>
                <w:rFonts w:ascii="Arial" w:hAnsi="Arial"/>
                <w:color w:val="26343D"/>
                <w:sz w:val="18"/>
              </w:rPr>
              <w:t>AI tools for source discovery, verification, meeting summaries, and audience reports</w:t>
            </w:r>
          </w:p>
        </w:tc>
        <w:tc>
          <w:tcPr>
            <w:tcW w:type="dxa" w:w="2340"/>
            <w:shd w:fill="F5F7F6"/>
            <w:tcMar>
              <w:top w:w="85" w:type="dxa"/>
              <w:start w:w="100" w:type="dxa"/>
              <w:bottom w:w="85" w:type="dxa"/>
              <w:end w:w="100" w:type="dxa"/>
            </w:tcMar>
          </w:tcPr>
          <w:p>
            <w:pPr>
              <w:spacing w:after="0" w:before="0" w:line="240" w:lineRule="auto"/>
              <w:ind w:firstLine="0"/>
            </w:pPr>
            <w:r>
              <w:rPr>
                <w:rFonts w:ascii="Arial" w:hAnsi="Arial"/>
                <w:color w:val="26343D"/>
                <w:sz w:val="18"/>
              </w:rPr>
              <w:t>Reporting, verification, and commercial prospecting</w:t>
            </w:r>
          </w:p>
        </w:tc>
        <w:tc>
          <w:tcPr>
            <w:tcW w:type="dxa" w:w="2340"/>
            <w:shd w:fill="F5F7F6"/>
            <w:tcMar>
              <w:top w:w="85" w:type="dxa"/>
              <w:start w:w="100" w:type="dxa"/>
              <w:bottom w:w="85" w:type="dxa"/>
              <w:end w:w="100" w:type="dxa"/>
            </w:tcMar>
          </w:tcPr>
          <w:p>
            <w:pPr>
              <w:spacing w:after="0" w:before="0" w:line="240" w:lineRule="auto"/>
              <w:ind w:firstLine="0"/>
            </w:pPr>
            <w:r>
              <w:rPr>
                <w:rFonts w:ascii="Arial" w:hAnsi="Arial"/>
                <w:color w:val="26343D"/>
                <w:sz w:val="18"/>
              </w:rPr>
              <w:t>Shorter research cycles without surrendering editorial accountability</w:t>
            </w:r>
          </w:p>
        </w:tc>
      </w:tr>
    </w:tbl>
    <w:p>
      <w:pPr>
        <w:widowControl/>
        <w:ind w:firstLine="0"/>
        <w:jc w:val="left"/>
      </w:pPr>
      <w:r>
        <w:rPr>
          <w:rFonts w:ascii="Arial" w:hAnsi="Arial"/>
          <w:sz w:val="21"/>
        </w:rPr>
        <w:br w:type="page"/>
      </w:r>
    </w:p>
    <w:p>
      <w:pPr>
        <w:pStyle w:val="Heading1"/>
        <w:widowControl/>
      </w:pPr>
      <w:r>
        <w:rPr>
          <w:rFonts w:ascii="Arial" w:hAnsi="Arial"/>
          <w:sz w:val="21"/>
        </w:rPr>
        <w:t>1 • Healthcare</w:t>
      </w:r>
    </w:p>
    <w:p>
      <w:pPr>
        <w:widowControl/>
        <w:spacing w:before="60" w:after="60"/>
        <w:ind w:firstLine="0"/>
        <w:jc w:val="left"/>
      </w:pPr>
      <w:r>
        <w:rPr>
          <w:rFonts w:ascii="Arial" w:hAnsi="Arial"/>
          <w:i/>
          <w:color w:val="C8952E"/>
          <w:sz w:val="19"/>
        </w:rPr>
        <w:t>OpenAI launches Health in ChatGPT • July 23, 2026</w:t>
      </w:r>
    </w:p>
    <w:p>
      <w:pPr>
        <w:widowControl/>
        <w:ind w:firstLine="0"/>
        <w:jc w:val="left"/>
      </w:pPr>
      <w:r>
        <w:rPr>
          <w:rFonts w:ascii="Arial" w:hAnsi="Arial"/>
          <w:sz w:val="21"/>
        </w:rPr>
        <w:t>OpenAI’s U.S. rollout lets eligible users securely connect Apple Health and supported medical records to ChatGPT. The product can summarize changes over time, compare lab results, and relate health records to sleep, activity, and workouts. OpenAI states that health data is protected by additional safeguards and is not used to train models or serve advertisements.</w:t>
      </w:r>
    </w:p>
    <w:p>
      <w:pPr>
        <w:pStyle w:val="Heading2"/>
        <w:widowControl/>
      </w:pPr>
      <w:r>
        <w:rPr>
          <w:rFonts w:ascii="Arial" w:hAnsi="Arial"/>
          <w:sz w:val="21"/>
        </w:rPr>
        <w:t>Business process impact</w:t>
      </w:r>
    </w:p>
    <w:p>
      <w:pPr>
        <w:widowControl/>
        <w:ind w:firstLine="0"/>
        <w:jc w:val="left"/>
      </w:pPr>
      <w:r>
        <w:rPr>
          <w:rFonts w:ascii="Arial" w:hAnsi="Arial"/>
          <w:sz w:val="21"/>
        </w:rPr>
        <w:t>The immediate transformation is preparation. A patient who previously searched across portals, PDFs, and wearable dashboards can ask for a coherent timeline before an appointment. A provider receives a better-organized conversation, not a replacement diagnosis. This can reduce low-value information gathering and redirect scarce appointment time toward clinical interpretation, tradeoffs, and care planning.</w:t>
      </w:r>
    </w:p>
    <w:p>
      <w:pPr>
        <w:pStyle w:val="Heading2"/>
        <w:widowControl/>
      </w:pPr>
      <w:r>
        <w:rPr>
          <w:rFonts w:ascii="Arial" w:hAnsi="Arial"/>
          <w:sz w:val="21"/>
        </w:rPr>
        <w:t>Decision-making impact</w:t>
      </w:r>
    </w:p>
    <w:p>
      <w:pPr>
        <w:widowControl/>
        <w:ind w:firstLine="0"/>
        <w:jc w:val="left"/>
      </w:pPr>
      <w:r>
        <w:rPr>
          <w:rFonts w:ascii="Arial" w:hAnsi="Arial"/>
          <w:sz w:val="21"/>
        </w:rPr>
        <w:t>Connected data can surface longitudinal patterns that are difficult to notice one document at a time. The commercial opportunity is a patient-controlled intelligence layer across fragmented records. The risk is overconfidence: a fluent summary can still omit context or misread causality. The winning product design will make provenance visible, encourage clinician review, and preserve a clear boundary between decision support and medical authority.</w:t>
      </w:r>
    </w:p>
    <w:p>
      <w:pPr>
        <w:widowControl/>
        <w:spacing w:before="120" w:after="140"/>
        <w:ind w:firstLine="0" w:left="216" w:right="216"/>
        <w:jc w:val="left"/>
        <w:shd w:fill="EAF3F3"/>
      </w:pPr>
      <w:r>
        <w:rPr>
          <w:rFonts w:ascii="Arial" w:hAnsi="Arial"/>
          <w:b/>
          <w:sz w:val="21"/>
        </w:rPr>
        <w:t xml:space="preserve">Future signal: </w:t>
      </w:r>
      <w:r>
        <w:rPr>
          <w:rFonts w:ascii="Arial" w:hAnsi="Arial"/>
          <w:sz w:val="21"/>
        </w:rPr>
        <w:t>Health AI will compete on trusted connectivity and traceable evidence, not only model quality. Products that show where each conclusion came from will be easier for patients and clinicians to adopt.</w:t>
      </w:r>
    </w:p>
    <w:p>
      <w:pPr>
        <w:pStyle w:val="Heading1"/>
        <w:widowControl/>
      </w:pPr>
      <w:r>
        <w:rPr>
          <w:rFonts w:ascii="Arial" w:hAnsi="Arial"/>
          <w:sz w:val="21"/>
        </w:rPr>
        <w:t>2 • Education</w:t>
      </w:r>
    </w:p>
    <w:p>
      <w:pPr>
        <w:widowControl/>
        <w:spacing w:before="60" w:after="60"/>
        <w:ind w:firstLine="0"/>
        <w:jc w:val="left"/>
      </w:pPr>
      <w:r>
        <w:rPr>
          <w:rFonts w:ascii="Arial" w:hAnsi="Arial"/>
          <w:i/>
          <w:color w:val="C8952E"/>
          <w:sz w:val="19"/>
        </w:rPr>
        <w:t>Anthropic introduces Claude for Teachers • July 14, 2026</w:t>
      </w:r>
    </w:p>
    <w:p>
      <w:pPr>
        <w:widowControl/>
        <w:ind w:firstLine="0"/>
        <w:jc w:val="left"/>
      </w:pPr>
      <w:r>
        <w:rPr>
          <w:rFonts w:ascii="Arial" w:hAnsi="Arial"/>
          <w:sz w:val="21"/>
        </w:rPr>
        <w:t>Anthropic announced free premium access for verified U.S. K–12 educators. Claude for Teachers includes Learning Commons resources aligned to standards across all 50 states, support for lesson planning and differentiation, class-data analysis, and scheduled tasks. Anthropic also emphasizes school-focused privacy commitments, including a data processing agreement and no training on educator data.</w:t>
      </w:r>
    </w:p>
    <w:p>
      <w:pPr>
        <w:pStyle w:val="Heading2"/>
        <w:widowControl/>
      </w:pPr>
      <w:r>
        <w:rPr>
          <w:rFonts w:ascii="Arial" w:hAnsi="Arial"/>
          <w:sz w:val="21"/>
        </w:rPr>
        <w:t>Business process impact</w:t>
      </w:r>
    </w:p>
    <w:p>
      <w:pPr>
        <w:widowControl/>
        <w:ind w:firstLine="0"/>
        <w:jc w:val="left"/>
      </w:pPr>
      <w:r>
        <w:rPr>
          <w:rFonts w:ascii="Arial" w:hAnsi="Arial"/>
          <w:sz w:val="21"/>
        </w:rPr>
        <w:t>Teachers routinely transform standards, student needs, and available materials into daily plans. Claude can accelerate the first draft of that work and produce alternate explanations, reading levels, practice activities, or rubrics. The process gain is not fewer teachers; it is less repetitive preparation and more time for observation, feedback, and relationship-centered instruction.</w:t>
      </w:r>
    </w:p>
    <w:p>
      <w:pPr>
        <w:pStyle w:val="Heading2"/>
        <w:widowControl/>
      </w:pPr>
      <w:r>
        <w:rPr>
          <w:rFonts w:ascii="Arial" w:hAnsi="Arial"/>
          <w:sz w:val="21"/>
        </w:rPr>
        <w:t>Decision-making impact</w:t>
      </w:r>
    </w:p>
    <w:p>
      <w:pPr>
        <w:widowControl/>
        <w:ind w:firstLine="0"/>
        <w:jc w:val="left"/>
      </w:pPr>
      <w:r>
        <w:rPr>
          <w:rFonts w:ascii="Arial" w:hAnsi="Arial"/>
          <w:sz w:val="21"/>
        </w:rPr>
        <w:t>When teachers can interrogate class data and generate differentiated options, decisions about pacing and support can become faster and more explicit. However, educators still need to review assumptions about student ability, cultural context, accessibility, and assessment validity. Commercial adoption will depend on district-level governance, training, and evidence that the tool improves learning rather than simply increasing content volume.</w:t>
      </w:r>
    </w:p>
    <w:p>
      <w:pPr>
        <w:widowControl/>
        <w:spacing w:before="120" w:after="140"/>
        <w:ind w:firstLine="0" w:left="216" w:right="216"/>
        <w:jc w:val="left"/>
        <w:shd w:fill="EAF3F3"/>
      </w:pPr>
      <w:r>
        <w:rPr>
          <w:rFonts w:ascii="Arial" w:hAnsi="Arial"/>
          <w:b/>
          <w:sz w:val="21"/>
        </w:rPr>
        <w:t xml:space="preserve">Future signal: </w:t>
      </w:r>
      <w:r>
        <w:rPr>
          <w:rFonts w:ascii="Arial" w:hAnsi="Arial"/>
          <w:sz w:val="21"/>
        </w:rPr>
        <w:t>The strongest education products will measure teacher time saved and student outcomes together. Efficiency without instructional quality is not transformation.</w:t>
      </w:r>
    </w:p>
    <w:p>
      <w:pPr>
        <w:widowControl/>
        <w:ind w:firstLine="0"/>
        <w:jc w:val="left"/>
      </w:pPr>
      <w:r>
        <w:rPr>
          <w:rFonts w:ascii="Arial" w:hAnsi="Arial"/>
          <w:sz w:val="21"/>
        </w:rPr>
        <w:br w:type="page"/>
      </w:r>
    </w:p>
    <w:p>
      <w:pPr>
        <w:pStyle w:val="Heading1"/>
        <w:widowControl/>
      </w:pPr>
      <w:r>
        <w:rPr>
          <w:rFonts w:ascii="Arial" w:hAnsi="Arial"/>
          <w:sz w:val="21"/>
        </w:rPr>
        <w:t>3 • News Media</w:t>
      </w:r>
    </w:p>
    <w:p>
      <w:pPr>
        <w:widowControl/>
        <w:spacing w:before="60" w:after="60"/>
        <w:ind w:firstLine="0"/>
        <w:jc w:val="left"/>
      </w:pPr>
      <w:r>
        <w:rPr>
          <w:rFonts w:ascii="Arial" w:hAnsi="Arial"/>
          <w:i/>
          <w:color w:val="C8952E"/>
          <w:sz w:val="19"/>
        </w:rPr>
        <w:t>OpenAI profiles production newsroom use cases • July 22, 2026</w:t>
      </w:r>
    </w:p>
    <w:p>
      <w:pPr>
        <w:widowControl/>
        <w:ind w:firstLine="0"/>
        <w:jc w:val="left"/>
      </w:pPr>
      <w:r>
        <w:rPr>
          <w:rFonts w:ascii="Arial" w:hAnsi="Arial"/>
          <w:sz w:val="21"/>
        </w:rPr>
        <w:t>OpenAI’s review of newsroom deployments shows AI moving into practical reporting and business operations. The Associated Press is testing tools for overnight news and podcast scanning, image and video verification, court filing structure, audience reports, and scripts. The Philadelphia Inquirer’s Scribe system summarizes public meetings and helps prioritize which deserve reporting attention. The Seattle Times reports that AI-supported prospect research reduced hours of work to minutes and contributed to sales activity.</w:t>
      </w:r>
    </w:p>
    <w:p>
      <w:pPr>
        <w:pStyle w:val="Heading2"/>
        <w:widowControl/>
      </w:pPr>
      <w:r>
        <w:rPr>
          <w:rFonts w:ascii="Arial" w:hAnsi="Arial"/>
          <w:sz w:val="21"/>
        </w:rPr>
        <w:t>Business process impact</w:t>
      </w:r>
    </w:p>
    <w:p>
      <w:pPr>
        <w:widowControl/>
        <w:ind w:firstLine="0"/>
        <w:jc w:val="left"/>
      </w:pPr>
      <w:r>
        <w:rPr>
          <w:rFonts w:ascii="Arial" w:hAnsi="Arial"/>
          <w:sz w:val="21"/>
        </w:rPr>
        <w:t>These applications target expensive bottlenecks: monitoring broad information streams, verifying media, structuring documents, and identifying commercial prospects. They allow journalists and revenue teams to examine more candidates before deciding where human effort matters most. That expands coverage capacity without pretending that model output is publication-ready reporting.</w:t>
      </w:r>
    </w:p>
    <w:p>
      <w:pPr>
        <w:pStyle w:val="Heading2"/>
        <w:widowControl/>
      </w:pPr>
      <w:r>
        <w:rPr>
          <w:rFonts w:ascii="Arial" w:hAnsi="Arial"/>
          <w:sz w:val="21"/>
        </w:rPr>
        <w:t>Decision-making impact</w:t>
      </w:r>
    </w:p>
    <w:p>
      <w:pPr>
        <w:widowControl/>
        <w:ind w:firstLine="0"/>
        <w:jc w:val="left"/>
      </w:pPr>
      <w:r>
        <w:rPr>
          <w:rFonts w:ascii="Arial" w:hAnsi="Arial"/>
          <w:sz w:val="21"/>
        </w:rPr>
        <w:t>The decision advantage is prioritization. A newsroom can rank meetings, flag suspicious media, and surface leads sooner. Yet editorial values cannot be reduced to engagement probability, and automated summaries can erase ambiguity or community context. Successful organizations will maintain source links, human approval, correction procedures, and clear separation between productivity tools and editorial judgment.</w:t>
      </w:r>
    </w:p>
    <w:p>
      <w:pPr>
        <w:widowControl/>
        <w:spacing w:before="120" w:after="140"/>
        <w:ind w:firstLine="0" w:left="216" w:right="216"/>
        <w:jc w:val="left"/>
        <w:shd w:fill="EAF3F3"/>
      </w:pPr>
      <w:r>
        <w:rPr>
          <w:rFonts w:ascii="Arial" w:hAnsi="Arial"/>
          <w:b/>
          <w:sz w:val="21"/>
        </w:rPr>
        <w:t xml:space="preserve">Future signal: </w:t>
      </w:r>
      <w:r>
        <w:rPr>
          <w:rFonts w:ascii="Arial" w:hAnsi="Arial"/>
          <w:sz w:val="21"/>
        </w:rPr>
        <w:t>Newsroom AI will become infrastructure for discovery and verification. Trust will favor organizations that disclose the workflow and keep accountability with named editors and reporters.</w:t>
      </w:r>
    </w:p>
    <w:p>
      <w:pPr>
        <w:pStyle w:val="Heading1"/>
        <w:widowControl/>
      </w:pPr>
      <w:r>
        <w:rPr>
          <w:rFonts w:ascii="Arial" w:hAnsi="Arial"/>
          <w:sz w:val="21"/>
        </w:rPr>
        <w:t>The bottom line</w:t>
      </w:r>
    </w:p>
    <w:p>
      <w:pPr>
        <w:pStyle w:val="ListBullet"/>
        <w:widowControl/>
        <w:spacing w:after="60" w:line="259" w:lineRule="auto"/>
        <w:ind w:left="403" w:hanging="259"/>
        <w:jc w:val="left"/>
      </w:pPr>
      <w:r>
        <w:rPr>
          <w:rFonts w:ascii="Arial" w:hAnsi="Arial"/>
          <w:sz w:val="21"/>
        </w:rPr>
        <w:t>Connected context beats isolated prompting. Records, standards, and source systems make the model useful inside real work.</w:t>
      </w:r>
    </w:p>
    <w:p>
      <w:pPr>
        <w:pStyle w:val="ListBullet"/>
        <w:widowControl/>
        <w:spacing w:after="60" w:line="259" w:lineRule="auto"/>
        <w:ind w:left="403" w:hanging="259"/>
        <w:jc w:val="left"/>
      </w:pPr>
      <w:r>
        <w:rPr>
          <w:rFonts w:ascii="Arial" w:hAnsi="Arial"/>
          <w:sz w:val="21"/>
        </w:rPr>
        <w:t>Workflow adoption beats novelty. Each release targets a recurring task with a visible owner and measurable cycle time.</w:t>
      </w:r>
    </w:p>
    <w:p>
      <w:pPr>
        <w:pStyle w:val="ListBullet"/>
        <w:widowControl/>
        <w:spacing w:after="60" w:line="259" w:lineRule="auto"/>
        <w:ind w:left="403" w:hanging="259"/>
        <w:jc w:val="left"/>
      </w:pPr>
      <w:r>
        <w:rPr>
          <w:rFonts w:ascii="Arial" w:hAnsi="Arial"/>
          <w:sz w:val="21"/>
        </w:rPr>
        <w:t>Human authority remains a product feature. Clinicians, teachers, and editors retain responsibility for consequential decisions.</w:t>
      </w:r>
    </w:p>
    <w:p>
      <w:pPr>
        <w:pStyle w:val="ListBullet"/>
        <w:widowControl/>
        <w:spacing w:after="60" w:line="259" w:lineRule="auto"/>
        <w:ind w:left="403" w:hanging="259"/>
        <w:jc w:val="left"/>
      </w:pPr>
      <w:r>
        <w:rPr>
          <w:rFonts w:ascii="Arial" w:hAnsi="Arial"/>
          <w:sz w:val="21"/>
        </w:rPr>
        <w:t>Governance becomes differentiation. Privacy, provenance, and review controls determine whether pilots become durable operations.</w:t>
      </w:r>
    </w:p>
    <w:p>
      <w:pPr>
        <w:widowControl/>
        <w:ind w:firstLine="0"/>
        <w:jc w:val="left"/>
      </w:pPr>
      <w:r>
        <w:rPr>
          <w:rFonts w:ascii="Arial" w:hAnsi="Arial"/>
          <w:sz w:val="21"/>
        </w:rPr>
        <w:t>The next month of commercial AI will likely produce more specialized interfaces, but the strategic question will remain the same: does the product improve a decision that matters while preserving the evidence and authority needed to trust it?</w:t>
      </w:r>
    </w:p>
    <w:p>
      <w:pPr>
        <w:pStyle w:val="Heading1"/>
        <w:widowControl/>
      </w:pPr>
      <w:r>
        <w:rPr>
          <w:rFonts w:ascii="Arial" w:hAnsi="Arial"/>
          <w:sz w:val="21"/>
        </w:rPr>
        <w:t>References</w:t>
      </w:r>
    </w:p>
    <w:p>
      <w:pPr>
        <w:widowControl/>
        <w:spacing w:after="100" w:line="259" w:lineRule="auto"/>
        <w:ind w:left="504" w:hanging="504"/>
        <w:jc w:val="left"/>
      </w:pPr>
      <w:r>
        <w:rPr>
          <w:rFonts w:ascii="Arial" w:hAnsi="Arial"/>
          <w:sz w:val="19"/>
        </w:rPr>
        <w:t>Anthropic. (2026, July 14). Introducing Claude for Teachers. https://www.anthropic.com/news/claude-for-teachers</w:t>
      </w:r>
    </w:p>
    <w:p>
      <w:pPr>
        <w:widowControl/>
        <w:spacing w:after="100" w:line="259" w:lineRule="auto"/>
        <w:ind w:left="504" w:hanging="504"/>
        <w:jc w:val="left"/>
      </w:pPr>
      <w:r>
        <w:rPr>
          <w:rFonts w:ascii="Arial" w:hAnsi="Arial"/>
          <w:sz w:val="19"/>
        </w:rPr>
        <w:t>OpenAI. (2026, July 22). How news organizations are using AI to transform their business. https://openai.com/index/how-news-organizations-are-using-ai/</w:t>
      </w:r>
    </w:p>
    <w:p>
      <w:pPr>
        <w:widowControl/>
        <w:spacing w:after="100" w:line="259" w:lineRule="auto"/>
        <w:ind w:left="504" w:hanging="504"/>
        <w:jc w:val="left"/>
      </w:pPr>
      <w:r>
        <w:rPr>
          <w:rFonts w:ascii="Arial" w:hAnsi="Arial"/>
          <w:sz w:val="19"/>
        </w:rPr>
        <w:t>OpenAI. (2026, July 23). Launching Health in ChatGPT. https://openai.com/index/health-in-chatgpt/</w:t>
      </w:r>
    </w:p>
    <w:sectPr w:rsidR="00FC693F" w:rsidRPr="0006063C" w:rsidSect="00034616">
      <w:headerReference w:type="default" r:id="rId9"/>
      <w:footerReference w:type="default" r:id="rId10"/>
      <w:pgSz w:w="12240" w:h="15840"/>
      <w:pgMar w:top="1008" w:right="1080" w:bottom="1008" w:left="108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A5A5A"/>
        <w:sz w:val="16"/>
      </w:rPr>
      <w:t>Manas Maheshwari  |  AIML-500  |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4606B"/>
        <w:sz w:val="16"/>
      </w:rPr>
      <w:t xml:space="preserve">SIGNAL SHIFT  |  </w:t>
    </w:r>
    <w:fldSimple w:instr="PAG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9" w:lineRule="auto"/>
      <w:ind w:firstLine="0"/>
    </w:pPr>
    <w:rPr>
      <w:rFonts w:ascii="Arial" w:hAnsi="Arial"/>
      <w:color w:val="2634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40" w:lineRule="auto"/>
      <w:ind w:firstLine="0"/>
      <w:jc w:val="left"/>
      <w:outlineLvl w:val="0"/>
    </w:pPr>
    <w:rPr>
      <w:rFonts w:asciiTheme="majorHAnsi" w:eastAsiaTheme="majorEastAsia" w:hAnsiTheme="majorHAnsi" w:cstheme="majorBidi" w:ascii="Arial" w:hAnsi="Arial"/>
      <w:b/>
      <w:bCs/>
      <w:i w:val="0"/>
      <w:color w:val="14606B"/>
      <w:sz w:val="32"/>
      <w:szCs w:val="28"/>
    </w:rPr>
  </w:style>
  <w:style w:type="paragraph" w:styleId="Heading2">
    <w:name w:val="heading 2"/>
    <w:basedOn w:val="Normal"/>
    <w:next w:val="Normal"/>
    <w:link w:val="Heading2Char"/>
    <w:uiPriority w:val="9"/>
    <w:unhideWhenUsed/>
    <w:qFormat/>
    <w:rsid w:val="00FC693F"/>
    <w:pPr>
      <w:keepNext/>
      <w:keepLines/>
      <w:spacing w:before="140" w:after="40" w:line="240" w:lineRule="auto"/>
      <w:ind w:firstLine="0"/>
      <w:jc w:val="left"/>
      <w:outlineLvl w:val="1"/>
    </w:pPr>
    <w:rPr>
      <w:rFonts w:asciiTheme="majorHAnsi" w:eastAsiaTheme="majorEastAsia" w:hAnsiTheme="majorHAnsi" w:cstheme="majorBidi" w:ascii="Arial" w:hAnsi="Arial"/>
      <w:b/>
      <w:bCs/>
      <w:i w:val="0"/>
      <w:color w:val="16324F"/>
      <w:sz w:val="23"/>
      <w:szCs w:val="26"/>
    </w:rPr>
  </w:style>
  <w:style w:type="paragraph" w:styleId="Heading3">
    <w:name w:val="heading 3"/>
    <w:basedOn w:val="Normal"/>
    <w:next w:val="Normal"/>
    <w:link w:val="Heading3Char"/>
    <w:uiPriority w:val="9"/>
    <w:unhideWhenUsed/>
    <w:qFormat/>
    <w:rsid w:val="00FC693F"/>
    <w:pPr>
      <w:keepNext/>
      <w:keepLines/>
      <w:spacing w:before="120" w:after="40" w:line="240" w:lineRule="auto"/>
      <w:ind w:firstLine="0"/>
      <w:jc w:val="left"/>
      <w:outlineLvl w:val="2"/>
    </w:pPr>
    <w:rPr>
      <w:rFonts w:asciiTheme="majorHAnsi" w:eastAsiaTheme="majorEastAsia" w:hAnsiTheme="majorHAnsi" w:cstheme="majorBidi" w:ascii="Arial" w:hAnsi="Arial"/>
      <w:b/>
      <w:bCs/>
      <w:i w:val="0"/>
      <w:color w:val="14606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0" w:line="480" w:lineRule="auto" w:before="0"/>
      <w:ind w:firstLine="0"/>
      <w:contextualSpacing/>
      <w:jc w:val="center"/>
    </w:pPr>
    <w:rPr>
      <w:rFonts w:asciiTheme="majorHAnsi" w:eastAsiaTheme="majorEastAsia" w:hAnsiTheme="majorHAnsi" w:cstheme="majorBidi" w:ascii="Times New Roman" w:hAnsi="Times New Roman"/>
      <w:b/>
      <w:i w:val="0"/>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Signal Shift: Three Commercial AI Launches Changing Work Now</dc:title>
  <dc:subject>AIML-500 Workshop Six</dc:subject>
  <dc:creator>Manas Maheshwari</dc:creator>
  <cp:keywords/>
  <dc:description>generated by python-docx</dc:description>
  <cp:lastModifiedBy/>
  <cp:revision>1</cp:revision>
  <dcterms:created xsi:type="dcterms:W3CDTF">2013-12-23T23:15:00Z</dcterms:created>
  <dcterms:modified xsi:type="dcterms:W3CDTF">2013-12-23T23:15:00Z</dcterms:modified>
  <cp:category/>
</cp:coreProperties>
</file>